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BOARD CHAIR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Chair of the Board at [Organization Name] leads the board in strategic governance to fulfill the organization’s mission of advancing [Organization's Field of Focus]. They work collaboratively with the Executive Director and board members to ensure effective oversight and strategic vision, supporting various community-driven initiatives.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role involves advocating for [Organization Name]'s principles of equitable and just [relevant sector] systems while fostering strong relationships with stakeholders, including community groups, funders, and policymakers, to sustain the organization's impact and strategic goals.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 board meetings, ensuring structured discussion and effective decision-making.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the Executive Director to set agendas and guide organizational strategy.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 as a spokesperson, representing [Organization Name] to external audiences.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board recruitment, onboarding, and development efforts.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legal standards and board policies.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and assess the performance of the Executive Director.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financial planning and budgetary controls.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Foster collaboration among board members and promote a culture of accountability.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duties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expertise in community engagement or advocacy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[specific sector]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[relevant industry],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policy, or community health initiatives.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non-profit governance frameworks.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financial literacy, particularly in budget management for non-profits.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analyze and understand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[specific sector]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challenges at local and regional levels.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Commitment to [Organization Name]’s mission and values.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Leadership and facilitation skills.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Strategic and critical thinking.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Cultural sensitivity and inclusivity.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Problem-solving and organizational skills.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inspire and mobilize board members and stakeholders.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and public speaking skills.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Volunteer role with flexible hours; must be available for regular board meetings.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occasional evening or weekend commitments for events or strategic meetings.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Primarily operates in virtual settings, with opportunities for in-person engagement.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